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77" w:rsidRDefault="00D54277" w:rsidP="00D542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Administration D</w:t>
      </w:r>
      <w:r w:rsidR="001D2BA8" w:rsidRPr="00432354">
        <w:rPr>
          <w:rFonts w:ascii="Times New Roman" w:hAnsi="Times New Roman" w:cs="Times New Roman"/>
          <w:b/>
          <w:sz w:val="26"/>
          <w:szCs w:val="26"/>
          <w:lang w:val="en-US"/>
        </w:rPr>
        <w:t xml:space="preserve">eduction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="001D2BA8" w:rsidRPr="00432354">
        <w:rPr>
          <w:rFonts w:ascii="Times New Roman" w:hAnsi="Times New Roman" w:cs="Times New Roman"/>
          <w:b/>
          <w:sz w:val="26"/>
          <w:szCs w:val="26"/>
          <w:lang w:val="en-US"/>
        </w:rPr>
        <w:t xml:space="preserve">ates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to Cover RAO E</w:t>
      </w:r>
      <w:r w:rsidR="00AE304E" w:rsidRPr="00432354">
        <w:rPr>
          <w:rFonts w:ascii="Times New Roman" w:hAnsi="Times New Roman" w:cs="Times New Roman"/>
          <w:b/>
          <w:sz w:val="26"/>
          <w:szCs w:val="26"/>
          <w:lang w:val="en-US"/>
        </w:rPr>
        <w:t xml:space="preserve">xpenses on </w:t>
      </w:r>
      <w:r w:rsidR="00B650A6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="009D111C" w:rsidRPr="00432354">
        <w:rPr>
          <w:rFonts w:ascii="Times New Roman" w:hAnsi="Times New Roman" w:cs="Times New Roman"/>
          <w:b/>
          <w:sz w:val="26"/>
          <w:szCs w:val="26"/>
          <w:lang w:val="en-US"/>
        </w:rPr>
        <w:t>oyalty</w:t>
      </w:r>
      <w:r w:rsidR="00AA4FBD" w:rsidRPr="0043235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B650A6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AE304E" w:rsidRPr="00432354">
        <w:rPr>
          <w:rFonts w:ascii="Times New Roman" w:hAnsi="Times New Roman" w:cs="Times New Roman"/>
          <w:b/>
          <w:sz w:val="26"/>
          <w:szCs w:val="26"/>
          <w:lang w:val="en-US"/>
        </w:rPr>
        <w:t>ollection</w:t>
      </w:r>
      <w:r w:rsidR="001E2B67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AE304E" w:rsidRPr="00432354">
        <w:rPr>
          <w:rFonts w:ascii="Times New Roman" w:hAnsi="Times New Roman" w:cs="Times New Roman"/>
          <w:b/>
          <w:sz w:val="26"/>
          <w:szCs w:val="26"/>
          <w:lang w:val="en-US"/>
        </w:rPr>
        <w:t xml:space="preserve">, </w:t>
      </w:r>
      <w:r w:rsidR="00B650A6">
        <w:rPr>
          <w:rFonts w:ascii="Times New Roman" w:hAnsi="Times New Roman" w:cs="Times New Roman"/>
          <w:b/>
          <w:sz w:val="26"/>
          <w:szCs w:val="26"/>
          <w:lang w:val="en-US"/>
        </w:rPr>
        <w:t>Distribution and P</w:t>
      </w:r>
      <w:r w:rsidR="00AE304E" w:rsidRPr="00432354">
        <w:rPr>
          <w:rFonts w:ascii="Times New Roman" w:hAnsi="Times New Roman" w:cs="Times New Roman"/>
          <w:b/>
          <w:sz w:val="26"/>
          <w:szCs w:val="26"/>
          <w:lang w:val="en-US"/>
        </w:rPr>
        <w:t>ay</w:t>
      </w:r>
      <w:r w:rsidR="00B650A6">
        <w:rPr>
          <w:rFonts w:ascii="Times New Roman" w:hAnsi="Times New Roman" w:cs="Times New Roman"/>
          <w:b/>
          <w:sz w:val="26"/>
          <w:szCs w:val="26"/>
          <w:lang w:val="en-US"/>
        </w:rPr>
        <w:t>ment within</w:t>
      </w:r>
      <w:r w:rsidR="00AA4FBD" w:rsidRPr="0043235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B650A6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="004F1836" w:rsidRPr="00432354">
        <w:rPr>
          <w:rFonts w:ascii="Times New Roman" w:hAnsi="Times New Roman" w:cs="Times New Roman"/>
          <w:b/>
          <w:sz w:val="26"/>
          <w:szCs w:val="26"/>
          <w:lang w:val="en-US"/>
        </w:rPr>
        <w:t>ut-of-</w:t>
      </w:r>
      <w:r w:rsidR="00B650A6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4F1836" w:rsidRPr="00432354">
        <w:rPr>
          <w:rFonts w:ascii="Times New Roman" w:hAnsi="Times New Roman" w:cs="Times New Roman"/>
          <w:b/>
          <w:sz w:val="26"/>
          <w:szCs w:val="26"/>
          <w:lang w:val="en-US"/>
        </w:rPr>
        <w:t xml:space="preserve">ourt </w:t>
      </w:r>
      <w:r w:rsidR="00B650A6">
        <w:rPr>
          <w:rFonts w:ascii="Times New Roman" w:hAnsi="Times New Roman" w:cs="Times New Roman"/>
          <w:b/>
          <w:sz w:val="26"/>
          <w:szCs w:val="26"/>
          <w:lang w:val="en-US"/>
        </w:rPr>
        <w:t>Settlements as well as Rendering Legal A</w:t>
      </w:r>
      <w:r w:rsidR="004F1836" w:rsidRPr="00432354">
        <w:rPr>
          <w:rFonts w:ascii="Times New Roman" w:hAnsi="Times New Roman" w:cs="Times New Roman"/>
          <w:b/>
          <w:sz w:val="26"/>
          <w:szCs w:val="26"/>
          <w:lang w:val="en-US"/>
        </w:rPr>
        <w:t>ssistance</w:t>
      </w:r>
    </w:p>
    <w:p w:rsidR="00D54277" w:rsidRDefault="00D54277" w:rsidP="00D542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54277" w:rsidRPr="001E2B67" w:rsidRDefault="00D54277" w:rsidP="00B650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4277">
        <w:rPr>
          <w:rFonts w:ascii="Times New Roman" w:hAnsi="Times New Roman" w:cs="Times New Roman"/>
          <w:sz w:val="26"/>
          <w:szCs w:val="26"/>
          <w:lang w:val="en-US"/>
        </w:rPr>
        <w:t>Approved by RAO Authors’ Council Meeting</w:t>
      </w:r>
      <w:r w:rsidRPr="00D542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650A6">
        <w:rPr>
          <w:rFonts w:ascii="Times New Roman" w:hAnsi="Times New Roman" w:cs="Times New Roman"/>
          <w:sz w:val="26"/>
          <w:szCs w:val="26"/>
          <w:lang w:val="en-US"/>
        </w:rPr>
        <w:t>resolution № 4 dated</w:t>
      </w:r>
      <w:r w:rsidRPr="00D54277">
        <w:rPr>
          <w:rFonts w:ascii="Times New Roman" w:hAnsi="Times New Roman" w:cs="Times New Roman"/>
          <w:sz w:val="26"/>
          <w:szCs w:val="26"/>
          <w:lang w:val="en-US"/>
        </w:rPr>
        <w:t xml:space="preserve"> April 24, 2014</w:t>
      </w:r>
      <w:r w:rsidR="00B650A6">
        <w:rPr>
          <w:rFonts w:ascii="Times New Roman" w:hAnsi="Times New Roman" w:cs="Times New Roman"/>
          <w:sz w:val="26"/>
          <w:szCs w:val="26"/>
          <w:lang w:val="en-US"/>
        </w:rPr>
        <w:t xml:space="preserve"> with allowances made for </w:t>
      </w:r>
      <w:r w:rsidRPr="00D54277">
        <w:rPr>
          <w:rFonts w:ascii="Times New Roman" w:hAnsi="Times New Roman" w:cs="Times New Roman"/>
          <w:sz w:val="26"/>
          <w:szCs w:val="26"/>
          <w:lang w:val="en-US"/>
        </w:rPr>
        <w:t>RAO Authors’ Council Meeting</w:t>
      </w:r>
      <w:r w:rsidRPr="00D542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650A6">
        <w:rPr>
          <w:rFonts w:ascii="Times New Roman" w:hAnsi="Times New Roman" w:cs="Times New Roman"/>
          <w:sz w:val="26"/>
          <w:szCs w:val="26"/>
          <w:lang w:val="en-US"/>
        </w:rPr>
        <w:t>resolution № 6 dated</w:t>
      </w:r>
      <w:r w:rsidRPr="00D54277">
        <w:rPr>
          <w:rFonts w:ascii="Times New Roman" w:hAnsi="Times New Roman" w:cs="Times New Roman"/>
          <w:sz w:val="26"/>
          <w:szCs w:val="26"/>
          <w:lang w:val="en-US"/>
        </w:rPr>
        <w:t xml:space="preserve"> March 28, 2017</w:t>
      </w:r>
      <w:r w:rsidR="00B650A6">
        <w:rPr>
          <w:rFonts w:ascii="Times New Roman" w:hAnsi="Times New Roman" w:cs="Times New Roman"/>
          <w:sz w:val="26"/>
          <w:szCs w:val="26"/>
          <w:lang w:val="en-US"/>
        </w:rPr>
        <w:t xml:space="preserve"> as well as </w:t>
      </w:r>
      <w:r w:rsidR="00B650A6" w:rsidRPr="00D54277">
        <w:rPr>
          <w:rFonts w:ascii="Times New Roman" w:hAnsi="Times New Roman" w:cs="Times New Roman"/>
          <w:sz w:val="26"/>
          <w:szCs w:val="26"/>
          <w:lang w:val="en-US"/>
        </w:rPr>
        <w:t xml:space="preserve">RAO Authors’ Council Meeting </w:t>
      </w:r>
      <w:r w:rsidR="00B650A6">
        <w:rPr>
          <w:rFonts w:ascii="Times New Roman" w:hAnsi="Times New Roman" w:cs="Times New Roman"/>
          <w:sz w:val="26"/>
          <w:szCs w:val="26"/>
          <w:lang w:val="en-US"/>
        </w:rPr>
        <w:t>resolution № 2</w:t>
      </w:r>
      <w:r w:rsidR="00B650A6">
        <w:rPr>
          <w:rFonts w:ascii="Times New Roman" w:hAnsi="Times New Roman" w:cs="Times New Roman"/>
          <w:sz w:val="26"/>
          <w:szCs w:val="26"/>
          <w:lang w:val="en-US"/>
        </w:rPr>
        <w:t xml:space="preserve"> dated</w:t>
      </w:r>
      <w:r w:rsidR="00B650A6" w:rsidRPr="00D542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650A6">
        <w:rPr>
          <w:rFonts w:ascii="Times New Roman" w:hAnsi="Times New Roman" w:cs="Times New Roman"/>
          <w:sz w:val="26"/>
          <w:szCs w:val="26"/>
          <w:lang w:val="en-US"/>
        </w:rPr>
        <w:t>December 3</w:t>
      </w:r>
      <w:r w:rsidR="00B650A6" w:rsidRPr="00D5427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B650A6">
        <w:rPr>
          <w:rFonts w:ascii="Times New Roman" w:hAnsi="Times New Roman" w:cs="Times New Roman"/>
          <w:sz w:val="26"/>
          <w:szCs w:val="26"/>
          <w:lang w:val="en-US"/>
        </w:rPr>
        <w:t>2019.</w:t>
      </w:r>
    </w:p>
    <w:p w:rsidR="00AE304E" w:rsidRPr="00D54277" w:rsidRDefault="00AE304E" w:rsidP="007777B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777B9" w:rsidRPr="00D90001" w:rsidRDefault="007777B9" w:rsidP="007777B9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Style w:val="a3"/>
        <w:tblW w:w="109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529"/>
        <w:gridCol w:w="708"/>
      </w:tblGrid>
      <w:tr w:rsidR="004F1836" w:rsidRPr="00D54277" w:rsidTr="001E2B67">
        <w:trPr>
          <w:trHeight w:val="454"/>
        </w:trPr>
        <w:tc>
          <w:tcPr>
            <w:tcW w:w="677" w:type="dxa"/>
          </w:tcPr>
          <w:p w:rsidR="004F1836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29" w:type="dxa"/>
          </w:tcPr>
          <w:p w:rsidR="004F1836" w:rsidRPr="00432354" w:rsidRDefault="001E2B67" w:rsidP="001E2B67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amount of deductions from royalties to cover the costs of collection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distribution and payment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to </w:t>
            </w:r>
            <w:r w:rsidRP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right holders who are legal entities, individual entrepreneurs, individuals not subject to compulsory social insurance, in accordance with federal laws, as well as individuals applying a special tax regime "Tax on professional income":</w:t>
            </w:r>
          </w:p>
        </w:tc>
        <w:tc>
          <w:tcPr>
            <w:tcW w:w="708" w:type="dxa"/>
          </w:tcPr>
          <w:p w:rsidR="004F1836" w:rsidRPr="00432354" w:rsidRDefault="004F1836" w:rsidP="00432354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F1836" w:rsidRPr="001E2B67" w:rsidTr="001E2B67">
        <w:trPr>
          <w:trHeight w:val="454"/>
        </w:trPr>
        <w:tc>
          <w:tcPr>
            <w:tcW w:w="677" w:type="dxa"/>
          </w:tcPr>
          <w:p w:rsidR="004F1836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29" w:type="dxa"/>
          </w:tcPr>
          <w:p w:rsidR="00942F97" w:rsidRPr="00432354" w:rsidRDefault="002F117C" w:rsidP="001E2B67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 the public performance of works</w:t>
            </w:r>
            <w:r w:rsidR="00F22986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except </w:t>
            </w:r>
            <w:r w:rsidR="00014E3F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for the 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user categories referred to in sub-clauses </w:t>
            </w:r>
            <w:r w:rsidR="00F22986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</w:t>
            </w:r>
            <w:r w:rsidR="001E2B67" w:rsidRP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F22986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942F97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1.10</w:t>
            </w:r>
            <w:r w:rsidR="001E2B67" w:rsidRP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942F97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and 1.11</w:t>
            </w:r>
            <w:r w:rsidR="001E2B67" w:rsidRP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F22986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unless ot</w:t>
            </w:r>
            <w:r w:rsid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herwise provided by Reciprocal </w:t>
            </w:r>
            <w:r w:rsidR="001E2B67" w:rsidRP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representation </w:t>
            </w:r>
            <w:r w:rsid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F22986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ontracts with foreign collective management </w:t>
            </w:r>
            <w:r w:rsid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organizations</w:t>
            </w:r>
            <w:r w:rsid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(CMOs)</w:t>
            </w:r>
          </w:p>
        </w:tc>
        <w:tc>
          <w:tcPr>
            <w:tcW w:w="708" w:type="dxa"/>
          </w:tcPr>
          <w:p w:rsidR="00432354" w:rsidRDefault="00432354" w:rsidP="004323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F1836" w:rsidRPr="00432354" w:rsidRDefault="004F1836" w:rsidP="001E2B67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4F1836" w:rsidRPr="00432354" w:rsidTr="001E2B67">
        <w:trPr>
          <w:trHeight w:val="454"/>
        </w:trPr>
        <w:tc>
          <w:tcPr>
            <w:tcW w:w="677" w:type="dxa"/>
          </w:tcPr>
          <w:p w:rsidR="004F1836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29" w:type="dxa"/>
          </w:tcPr>
          <w:p w:rsidR="004F1836" w:rsidRPr="00432354" w:rsidRDefault="00F22986" w:rsidP="00432354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For </w:t>
            </w:r>
            <w:r w:rsidR="005F5D1D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public performance of dramatic </w:t>
            </w:r>
            <w:r w:rsid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and </w:t>
            </w:r>
            <w:proofErr w:type="spellStart"/>
            <w:r w:rsid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dramatico</w:t>
            </w:r>
            <w:proofErr w:type="spellEnd"/>
            <w:r w:rsid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-musical 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works</w:t>
            </w:r>
            <w:r w:rsid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797DC1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unless ot</w:t>
            </w:r>
            <w:r w:rsid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herwise provided by Reciprocal </w:t>
            </w:r>
            <w:r w:rsidR="0017035E" w:rsidRPr="001703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representation </w:t>
            </w:r>
            <w:r w:rsid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797DC1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ontracts with foreign </w:t>
            </w:r>
            <w:r w:rsid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CMOs</w:t>
            </w:r>
            <w:r w:rsidR="00797DC1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708" w:type="dxa"/>
          </w:tcPr>
          <w:p w:rsidR="004F1836" w:rsidRPr="00432354" w:rsidRDefault="004F1836" w:rsidP="0017035E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703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4F1836" w:rsidRPr="00432354" w:rsidTr="001E2B67">
        <w:trPr>
          <w:trHeight w:val="454"/>
        </w:trPr>
        <w:tc>
          <w:tcPr>
            <w:tcW w:w="677" w:type="dxa"/>
          </w:tcPr>
          <w:p w:rsidR="004F1836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1.3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29" w:type="dxa"/>
          </w:tcPr>
          <w:p w:rsidR="004F1836" w:rsidRPr="00432354" w:rsidRDefault="00E30B27" w:rsidP="0017035E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For </w:t>
            </w:r>
            <w:r w:rsidR="005F5D1D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use of works on </w:t>
            </w:r>
            <w:r w:rsidR="0017035E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radio</w:t>
            </w:r>
            <w:r w:rsidR="0017035E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and </w:t>
            </w:r>
            <w:r w:rsidR="0017035E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TV</w:t>
            </w:r>
          </w:p>
        </w:tc>
        <w:tc>
          <w:tcPr>
            <w:tcW w:w="708" w:type="dxa"/>
          </w:tcPr>
          <w:p w:rsidR="004F1836" w:rsidRPr="00432354" w:rsidRDefault="004F1836" w:rsidP="0017035E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1703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4F1836" w:rsidRPr="00432354" w:rsidTr="001E2B67">
        <w:trPr>
          <w:trHeight w:val="454"/>
        </w:trPr>
        <w:tc>
          <w:tcPr>
            <w:tcW w:w="677" w:type="dxa"/>
          </w:tcPr>
          <w:p w:rsidR="004F1836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1.4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29" w:type="dxa"/>
          </w:tcPr>
          <w:p w:rsidR="004F1836" w:rsidRPr="00432354" w:rsidRDefault="00661F9F" w:rsidP="00432354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For </w:t>
            </w:r>
            <w:r w:rsidR="001D47ED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</w:t>
            </w:r>
            <w:r w:rsid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work</w:t>
            </w:r>
            <w:r w:rsidR="00E7032F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reproduction in </w:t>
            </w:r>
            <w:r w:rsid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="00E7032F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sound recording</w:t>
            </w:r>
            <w:r w:rsidR="00432354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format</w:t>
            </w:r>
          </w:p>
        </w:tc>
        <w:tc>
          <w:tcPr>
            <w:tcW w:w="708" w:type="dxa"/>
          </w:tcPr>
          <w:p w:rsidR="004F1836" w:rsidRPr="00432354" w:rsidRDefault="004F1836" w:rsidP="0017035E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1703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4F1836" w:rsidRPr="00432354" w:rsidTr="001E2B67">
        <w:trPr>
          <w:trHeight w:val="454"/>
        </w:trPr>
        <w:tc>
          <w:tcPr>
            <w:tcW w:w="677" w:type="dxa"/>
          </w:tcPr>
          <w:p w:rsidR="004F1836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1.5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29" w:type="dxa"/>
          </w:tcPr>
          <w:p w:rsidR="004F1836" w:rsidRPr="00432354" w:rsidRDefault="00797DC1" w:rsidP="00432354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For </w:t>
            </w:r>
            <w:r w:rsidR="005F5D1D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</w:t>
            </w:r>
            <w:r w:rsidR="00622A91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public 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performance of musical works with or without text while demonstrating audio-visual works </w:t>
            </w:r>
            <w:r w:rsidR="0017035E" w:rsidRPr="001703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(AVW) 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 movie theatres, video halls and other public places</w:t>
            </w:r>
          </w:p>
        </w:tc>
        <w:tc>
          <w:tcPr>
            <w:tcW w:w="708" w:type="dxa"/>
          </w:tcPr>
          <w:p w:rsidR="00432354" w:rsidRDefault="00432354" w:rsidP="004323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F1836" w:rsidRPr="00432354" w:rsidRDefault="004F1836" w:rsidP="0017035E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1703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4F1836" w:rsidRPr="00432354" w:rsidTr="001E2B67">
        <w:trPr>
          <w:trHeight w:val="454"/>
        </w:trPr>
        <w:tc>
          <w:tcPr>
            <w:tcW w:w="677" w:type="dxa"/>
          </w:tcPr>
          <w:p w:rsidR="004F1836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1.6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29" w:type="dxa"/>
          </w:tcPr>
          <w:p w:rsidR="004F1836" w:rsidRPr="00432354" w:rsidRDefault="00E30B27" w:rsidP="00432354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For </w:t>
            </w:r>
            <w:r w:rsidR="005F5D1D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</w:t>
            </w:r>
            <w:r w:rsidR="00773F30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commercial </w:t>
            </w:r>
            <w:r w:rsidR="00622A91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reproduction of 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works of </w:t>
            </w:r>
            <w:r w:rsidR="00773F30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visual arts</w:t>
            </w:r>
          </w:p>
        </w:tc>
        <w:tc>
          <w:tcPr>
            <w:tcW w:w="708" w:type="dxa"/>
          </w:tcPr>
          <w:p w:rsidR="004F1836" w:rsidRPr="00432354" w:rsidRDefault="004F1836" w:rsidP="0017035E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4F1836" w:rsidRPr="00432354" w:rsidTr="001E2B67">
        <w:trPr>
          <w:trHeight w:val="454"/>
        </w:trPr>
        <w:tc>
          <w:tcPr>
            <w:tcW w:w="677" w:type="dxa"/>
          </w:tcPr>
          <w:p w:rsidR="004F1836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1.7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29" w:type="dxa"/>
          </w:tcPr>
          <w:p w:rsidR="004F1836" w:rsidRPr="00432354" w:rsidRDefault="00797DC1" w:rsidP="00432354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For </w:t>
            </w:r>
            <w:r w:rsidR="001D47ED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reproduction of works of art in print, managing resale right with regard to works of fine art as well as original manuscripts (autographs) of literary and music</w:t>
            </w:r>
            <w:r w:rsidR="00014E3F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works</w:t>
            </w:r>
          </w:p>
        </w:tc>
        <w:tc>
          <w:tcPr>
            <w:tcW w:w="708" w:type="dxa"/>
          </w:tcPr>
          <w:p w:rsidR="00432354" w:rsidRDefault="00432354" w:rsidP="0043235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F1836" w:rsidRPr="00432354" w:rsidRDefault="004F1836" w:rsidP="0017035E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4F1836" w:rsidRPr="00432354" w:rsidTr="001E2B67">
        <w:trPr>
          <w:trHeight w:val="454"/>
        </w:trPr>
        <w:tc>
          <w:tcPr>
            <w:tcW w:w="677" w:type="dxa"/>
          </w:tcPr>
          <w:p w:rsidR="004F1836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1.8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29" w:type="dxa"/>
          </w:tcPr>
          <w:p w:rsidR="004F1836" w:rsidRPr="00432354" w:rsidRDefault="00E30B27" w:rsidP="00432354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 the use of works on the territory of foreign countries</w:t>
            </w:r>
          </w:p>
        </w:tc>
        <w:tc>
          <w:tcPr>
            <w:tcW w:w="708" w:type="dxa"/>
          </w:tcPr>
          <w:p w:rsidR="004F1836" w:rsidRPr="00432354" w:rsidRDefault="004F1836" w:rsidP="0017035E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4F1836" w:rsidRPr="00432354" w:rsidTr="001E2B67">
        <w:trPr>
          <w:trHeight w:val="454"/>
        </w:trPr>
        <w:tc>
          <w:tcPr>
            <w:tcW w:w="677" w:type="dxa"/>
          </w:tcPr>
          <w:p w:rsidR="004F1836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1.9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29" w:type="dxa"/>
          </w:tcPr>
          <w:p w:rsidR="004F1836" w:rsidRPr="00432354" w:rsidRDefault="00E30B27" w:rsidP="00BD0AF6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 new overseas editions of scientific, literature and art works, including sc</w:t>
            </w:r>
            <w:r w:rsidR="00014E3F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ientific</w:t>
            </w:r>
            <w:r w:rsidR="00EB5782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and technical journals</w:t>
            </w:r>
            <w:r w:rsidR="00BD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BD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unless alternative deduction </w:t>
            </w:r>
            <w:r w:rsidR="00BD0AF6" w:rsidRPr="00BD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amount </w:t>
            </w:r>
            <w:r w:rsidRPr="00BD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 provided by contracts between RAO and Russian and/or foreign partners</w:t>
            </w:r>
          </w:p>
        </w:tc>
        <w:tc>
          <w:tcPr>
            <w:tcW w:w="708" w:type="dxa"/>
          </w:tcPr>
          <w:p w:rsidR="00432354" w:rsidRDefault="00432354" w:rsidP="0043235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F1836" w:rsidRPr="00432354" w:rsidRDefault="003625D5" w:rsidP="0017035E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4F1836" w:rsidRPr="00432354" w:rsidTr="001E2B67">
        <w:trPr>
          <w:trHeight w:val="454"/>
        </w:trPr>
        <w:tc>
          <w:tcPr>
            <w:tcW w:w="677" w:type="dxa"/>
          </w:tcPr>
          <w:p w:rsidR="004F1836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1.10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29" w:type="dxa"/>
          </w:tcPr>
          <w:p w:rsidR="004F1836" w:rsidRPr="00432354" w:rsidRDefault="00E30B27" w:rsidP="00432354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For </w:t>
            </w:r>
            <w:r w:rsidR="001D47ED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public performance of works in transport</w:t>
            </w:r>
          </w:p>
        </w:tc>
        <w:tc>
          <w:tcPr>
            <w:tcW w:w="708" w:type="dxa"/>
          </w:tcPr>
          <w:p w:rsidR="004F1836" w:rsidRPr="00BD0AF6" w:rsidRDefault="00BD0AF6" w:rsidP="0017035E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625D5" w:rsidRPr="00BD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4F1836" w:rsidRPr="00432354" w:rsidTr="001E2B67">
        <w:trPr>
          <w:trHeight w:val="454"/>
        </w:trPr>
        <w:tc>
          <w:tcPr>
            <w:tcW w:w="677" w:type="dxa"/>
          </w:tcPr>
          <w:p w:rsidR="004F1836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1.11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29" w:type="dxa"/>
          </w:tcPr>
          <w:p w:rsidR="004F1836" w:rsidRPr="00432354" w:rsidRDefault="00E30B27" w:rsidP="00BD0AF6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For </w:t>
            </w:r>
            <w:r w:rsidR="001D47ED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public performance of works in catering </w:t>
            </w:r>
            <w:r w:rsidR="00EB5782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facilities</w:t>
            </w:r>
            <w:r w:rsidR="00014E3F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trade and service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entities, night clubs, gambling and entertainment </w:t>
            </w:r>
            <w:r w:rsidR="00EB5782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facilities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hotels, sanatorium</w:t>
            </w:r>
            <w:r w:rsidR="00014E3F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and resort facilities, sports and recreation centers</w:t>
            </w:r>
          </w:p>
        </w:tc>
        <w:tc>
          <w:tcPr>
            <w:tcW w:w="708" w:type="dxa"/>
          </w:tcPr>
          <w:p w:rsidR="00BD0AF6" w:rsidRPr="00BD0AF6" w:rsidRDefault="00BD0AF6" w:rsidP="00BD0A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F1836" w:rsidRPr="00BD0AF6" w:rsidRDefault="00BD0AF6" w:rsidP="0017035E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625D5" w:rsidRPr="00BD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3625D5" w:rsidRPr="0017035E" w:rsidTr="001E2B67">
        <w:trPr>
          <w:trHeight w:val="454"/>
        </w:trPr>
        <w:tc>
          <w:tcPr>
            <w:tcW w:w="677" w:type="dxa"/>
          </w:tcPr>
          <w:p w:rsidR="003625D5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1.12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29" w:type="dxa"/>
          </w:tcPr>
          <w:p w:rsidR="003625D5" w:rsidRPr="00432354" w:rsidRDefault="00DD008D" w:rsidP="00432354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 the use of works</w:t>
            </w:r>
            <w:r w:rsidR="001703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on digital networks, </w:t>
            </w:r>
            <w:proofErr w:type="spellStart"/>
            <w:r w:rsidR="001703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i.a</w:t>
            </w:r>
            <w:proofErr w:type="spellEnd"/>
            <w:r w:rsidR="001703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in mobile services and on the Internet</w:t>
            </w:r>
          </w:p>
        </w:tc>
        <w:tc>
          <w:tcPr>
            <w:tcW w:w="708" w:type="dxa"/>
          </w:tcPr>
          <w:p w:rsidR="003625D5" w:rsidRPr="00432354" w:rsidRDefault="003625D5" w:rsidP="0017035E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3625D5" w:rsidRPr="0017035E" w:rsidTr="001E2B67">
        <w:trPr>
          <w:trHeight w:val="454"/>
        </w:trPr>
        <w:tc>
          <w:tcPr>
            <w:tcW w:w="677" w:type="dxa"/>
          </w:tcPr>
          <w:p w:rsidR="003625D5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1.13</w:t>
            </w:r>
            <w:r w:rsidR="0017035E" w:rsidRPr="001703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9529" w:type="dxa"/>
          </w:tcPr>
          <w:p w:rsidR="003625D5" w:rsidRPr="00432354" w:rsidRDefault="00D821F3" w:rsidP="00432354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For </w:t>
            </w:r>
            <w:r w:rsidR="005F5D1D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 of works for personal purposes</w:t>
            </w:r>
          </w:p>
        </w:tc>
        <w:tc>
          <w:tcPr>
            <w:tcW w:w="708" w:type="dxa"/>
          </w:tcPr>
          <w:p w:rsidR="003625D5" w:rsidRPr="00432354" w:rsidRDefault="003625D5" w:rsidP="0017035E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4F1836" w:rsidRPr="00432354" w:rsidTr="001E2B67">
        <w:trPr>
          <w:trHeight w:val="454"/>
        </w:trPr>
        <w:tc>
          <w:tcPr>
            <w:tcW w:w="677" w:type="dxa"/>
          </w:tcPr>
          <w:p w:rsidR="004F1836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1.14</w:t>
            </w:r>
            <w:r w:rsidR="0017035E" w:rsidRPr="001703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9529" w:type="dxa"/>
          </w:tcPr>
          <w:p w:rsidR="004F1836" w:rsidRPr="00432354" w:rsidRDefault="00797DC1" w:rsidP="0017035E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For the use of musical works </w:t>
            </w:r>
            <w:r w:rsidR="00BD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with or without text</w:t>
            </w:r>
            <w:r w:rsidR="00BD0A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E30B27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as part of </w:t>
            </w:r>
            <w:r w:rsidR="001703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AVW</w:t>
            </w:r>
          </w:p>
        </w:tc>
        <w:tc>
          <w:tcPr>
            <w:tcW w:w="708" w:type="dxa"/>
          </w:tcPr>
          <w:p w:rsidR="004F1836" w:rsidRPr="00432354" w:rsidRDefault="003625D5" w:rsidP="00245816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2458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4F1836" w:rsidRPr="00432354" w:rsidTr="001E2B67">
        <w:trPr>
          <w:trHeight w:val="454"/>
        </w:trPr>
        <w:tc>
          <w:tcPr>
            <w:tcW w:w="677" w:type="dxa"/>
          </w:tcPr>
          <w:p w:rsidR="004F1836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29" w:type="dxa"/>
          </w:tcPr>
          <w:p w:rsidR="004F1836" w:rsidRPr="00432354" w:rsidRDefault="00245816" w:rsidP="00245816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="00DD008D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oyalty deductions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made from remuneration of the </w:t>
            </w:r>
            <w:r w:rsidRP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right holders who are legal entities, individual entrepreneurs, individuals not subject to compulsory social insurance, in accordance with federal laws, as well as individuals applying a special tax regime "Tax on professional income"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collected </w:t>
            </w:r>
            <w:r w:rsidR="00DD008D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 legal assistance</w:t>
            </w:r>
          </w:p>
        </w:tc>
        <w:tc>
          <w:tcPr>
            <w:tcW w:w="708" w:type="dxa"/>
          </w:tcPr>
          <w:p w:rsidR="00245816" w:rsidRDefault="00245816" w:rsidP="00245816">
            <w:pPr>
              <w:spacing w:before="10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F1836" w:rsidRPr="00432354" w:rsidRDefault="00245816" w:rsidP="00432354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="003625D5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4F1836" w:rsidRPr="00432354" w:rsidTr="001E2B67">
        <w:trPr>
          <w:trHeight w:val="454"/>
        </w:trPr>
        <w:tc>
          <w:tcPr>
            <w:tcW w:w="677" w:type="dxa"/>
          </w:tcPr>
          <w:p w:rsidR="004F1836" w:rsidRPr="0017035E" w:rsidRDefault="003625D5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</w:rPr>
            </w:pP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1703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29" w:type="dxa"/>
          </w:tcPr>
          <w:p w:rsidR="004F1836" w:rsidRPr="00432354" w:rsidRDefault="00245816" w:rsidP="00245816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Royalty deductions made from the amounts of compensation or damage recovery </w:t>
            </w:r>
            <w:r w:rsidR="0052685E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 case of out-of-court settlements on illegal use of works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of the </w:t>
            </w:r>
            <w:r w:rsidRP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right holders who are legal entities, individual entrepreneurs, individuals not subject to compulsory social insurance, in accordance with federal laws, as well as individuals applying a special tax regime "Tax on professional income"</w:t>
            </w:r>
          </w:p>
        </w:tc>
        <w:tc>
          <w:tcPr>
            <w:tcW w:w="708" w:type="dxa"/>
          </w:tcPr>
          <w:p w:rsidR="00245816" w:rsidRDefault="00245816" w:rsidP="00432354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F1836" w:rsidRPr="00432354" w:rsidRDefault="00245816" w:rsidP="00432354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  <w:r w:rsidR="00DE0588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  <w:tr w:rsidR="00245816" w:rsidRPr="00740B96" w:rsidTr="001E2B67">
        <w:trPr>
          <w:trHeight w:val="454"/>
        </w:trPr>
        <w:tc>
          <w:tcPr>
            <w:tcW w:w="677" w:type="dxa"/>
          </w:tcPr>
          <w:p w:rsidR="00245816" w:rsidRPr="00432354" w:rsidRDefault="00245816" w:rsidP="0017035E">
            <w:pPr>
              <w:spacing w:before="100"/>
              <w:ind w:right="-17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9529" w:type="dxa"/>
          </w:tcPr>
          <w:p w:rsidR="00245816" w:rsidRPr="00432354" w:rsidRDefault="00245816" w:rsidP="00432354">
            <w:pPr>
              <w:spacing w:before="10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oyalty deductions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made from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authors’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remuneration</w:t>
            </w:r>
            <w:r w:rsidR="00740B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40B96" w:rsidRP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 cover the costs of collection</w:t>
            </w:r>
            <w:r w:rsidR="00740B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="00740B96" w:rsidRP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distribution and payment </w:t>
            </w:r>
            <w:r w:rsidR="00740B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to </w:t>
            </w:r>
            <w:r w:rsidR="00740B96" w:rsidRP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right holders</w:t>
            </w:r>
            <w:r w:rsidR="00740B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740B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i.a</w:t>
            </w:r>
            <w:proofErr w:type="spellEnd"/>
            <w:r w:rsidR="00740B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="00740B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collected </w:t>
            </w:r>
            <w:r w:rsidR="00740B96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 legal assistance</w:t>
            </w:r>
            <w:r w:rsidR="00740B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as well as </w:t>
            </w:r>
            <w:r w:rsidR="00740B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made from the amounts of compensation or damage recovery </w:t>
            </w:r>
            <w:r w:rsidR="00740B96" w:rsidRPr="004323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 case of out-of-court settlements on illegal use of works </w:t>
            </w:r>
            <w:r w:rsidR="00740B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of the </w:t>
            </w:r>
            <w:r w:rsidR="00740B96" w:rsidRP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right holders who are</w:t>
            </w:r>
            <w:r w:rsidR="00740B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40B96" w:rsidRPr="001E2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individuals not</w:t>
            </w:r>
            <w:r w:rsidR="00740B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mentioned in clauses 1. – 3. above.</w:t>
            </w:r>
          </w:p>
        </w:tc>
        <w:tc>
          <w:tcPr>
            <w:tcW w:w="708" w:type="dxa"/>
          </w:tcPr>
          <w:p w:rsidR="00740B96" w:rsidRDefault="00740B96" w:rsidP="00432354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245816" w:rsidRDefault="00245816" w:rsidP="00740B96">
            <w:pPr>
              <w:spacing w:before="10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740B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</w:tr>
    </w:tbl>
    <w:p w:rsidR="0007057A" w:rsidRPr="00432354" w:rsidRDefault="0007057A" w:rsidP="002D51F3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07057A" w:rsidRPr="00432354" w:rsidSect="002D51F3">
      <w:pgSz w:w="11906" w:h="16838"/>
      <w:pgMar w:top="568" w:right="566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7A"/>
    <w:rsid w:val="00014E3F"/>
    <w:rsid w:val="00015FAD"/>
    <w:rsid w:val="00063A43"/>
    <w:rsid w:val="00065CE9"/>
    <w:rsid w:val="0007057A"/>
    <w:rsid w:val="0017035E"/>
    <w:rsid w:val="001D2BA8"/>
    <w:rsid w:val="001D47ED"/>
    <w:rsid w:val="001E2B67"/>
    <w:rsid w:val="00245816"/>
    <w:rsid w:val="002A5893"/>
    <w:rsid w:val="002D0B6F"/>
    <w:rsid w:val="002D51F3"/>
    <w:rsid w:val="002F117C"/>
    <w:rsid w:val="00310066"/>
    <w:rsid w:val="003625D5"/>
    <w:rsid w:val="00432354"/>
    <w:rsid w:val="004F1836"/>
    <w:rsid w:val="00516068"/>
    <w:rsid w:val="0052587F"/>
    <w:rsid w:val="0052685E"/>
    <w:rsid w:val="005F5D1D"/>
    <w:rsid w:val="00615223"/>
    <w:rsid w:val="00622A91"/>
    <w:rsid w:val="00661F9F"/>
    <w:rsid w:val="006B2533"/>
    <w:rsid w:val="006F2A87"/>
    <w:rsid w:val="00740B96"/>
    <w:rsid w:val="00773F30"/>
    <w:rsid w:val="007777B9"/>
    <w:rsid w:val="00797DC1"/>
    <w:rsid w:val="007F0EA5"/>
    <w:rsid w:val="00923EA3"/>
    <w:rsid w:val="00926175"/>
    <w:rsid w:val="00942F97"/>
    <w:rsid w:val="009C2674"/>
    <w:rsid w:val="009D111C"/>
    <w:rsid w:val="00AA1DCD"/>
    <w:rsid w:val="00AA4FBD"/>
    <w:rsid w:val="00AC36E1"/>
    <w:rsid w:val="00AE304E"/>
    <w:rsid w:val="00B03087"/>
    <w:rsid w:val="00B650A6"/>
    <w:rsid w:val="00BD0AF6"/>
    <w:rsid w:val="00BE3C4B"/>
    <w:rsid w:val="00C15C34"/>
    <w:rsid w:val="00C44AB8"/>
    <w:rsid w:val="00C80864"/>
    <w:rsid w:val="00D54277"/>
    <w:rsid w:val="00D821F3"/>
    <w:rsid w:val="00D90001"/>
    <w:rsid w:val="00DD008D"/>
    <w:rsid w:val="00DE0588"/>
    <w:rsid w:val="00E04F4C"/>
    <w:rsid w:val="00E2608B"/>
    <w:rsid w:val="00E30A51"/>
    <w:rsid w:val="00E30B27"/>
    <w:rsid w:val="00E45FC5"/>
    <w:rsid w:val="00E7032F"/>
    <w:rsid w:val="00E92CAD"/>
    <w:rsid w:val="00EB5782"/>
    <w:rsid w:val="00EF59F7"/>
    <w:rsid w:val="00F043DE"/>
    <w:rsid w:val="00F22986"/>
    <w:rsid w:val="00F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76BB7-FE8F-4CBD-8B8F-33063E2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EBD44-0103-4C51-91D5-41F14478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a.bogomolova</dc:creator>
  <cp:lastModifiedBy>Богомолова Анастасия Михайловна</cp:lastModifiedBy>
  <cp:revision>3</cp:revision>
  <dcterms:created xsi:type="dcterms:W3CDTF">2021-12-01T08:35:00Z</dcterms:created>
  <dcterms:modified xsi:type="dcterms:W3CDTF">2021-12-01T09:32:00Z</dcterms:modified>
</cp:coreProperties>
</file>